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spacing w:line="276" w:lineRule="auto"/>
        <w:rPr>
          <w:rFonts w:ascii="Arial" w:cs="Arial" w:eastAsia="Arial" w:hAnsi="Arial"/>
          <w:color w:val="4c4c4c"/>
        </w:rPr>
      </w:pPr>
      <w:bookmarkStart w:colFirst="0" w:colLast="0" w:name="_96h8th50do9q" w:id="0"/>
      <w:bookmarkEnd w:id="0"/>
      <w:r w:rsidDel="00000000" w:rsidR="00000000" w:rsidRPr="00000000">
        <w:rPr>
          <w:rtl w:val="0"/>
        </w:rPr>
        <w:t xml:space="preserve">Athento reunirá en #</w:t>
      </w:r>
      <w:r w:rsidDel="00000000" w:rsidR="00000000" w:rsidRPr="00000000">
        <w:rPr>
          <w:rtl w:val="0"/>
        </w:rPr>
        <w:t xml:space="preserve">Acelera2026</w:t>
      </w:r>
      <w:r w:rsidDel="00000000" w:rsidR="00000000" w:rsidRPr="00000000">
        <w:rPr>
          <w:rtl w:val="0"/>
        </w:rPr>
        <w:t xml:space="preserve"> casos reales de inteligencia artificial y automatización documental de España y Latinoamérica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76" w:lineRule="auto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Málaga, 24 de septiembre de 2026 – La cuarta edición de la Conferencia de Gestión Documental + IA en Español se celebrará online y de forma gratuita del 20 al 22 de octubre, con 12 sesiones en directo.</w:t>
      </w:r>
    </w:p>
    <w:p w:rsidR="00000000" w:rsidDel="00000000" w:rsidP="00000000" w:rsidRDefault="00000000" w:rsidRPr="00000000" w14:paraId="00000003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Athento celebrará del 20 al 22 de octubre de 2026 la cuarta edición de </w:t>
      </w:r>
      <w:hyperlink r:id="rId6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#</w:t>
        </w:r>
      </w:hyperlink>
      <w:hyperlink r:id="rId7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Acelera2026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, su Conferencia de Gestión Documental + IA en Español. El encuentro, 100 % online y gratuito, reunirá </w:t>
      </w:r>
      <w:hyperlink r:id="rId8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12 sesiones en directo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con casos reales de organizaciones de España y Latinoamérica, demostraciones de producto y aplicaciones prácticas de inteligencia artificial y automatización documental</w:t>
      </w:r>
    </w:p>
    <w:p w:rsidR="00000000" w:rsidDel="00000000" w:rsidP="00000000" w:rsidRDefault="00000000" w:rsidRPr="00000000" w14:paraId="00000004">
      <w:pPr>
        <w:spacing w:after="24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Más de 1800 profesionales de 23 países han participado en las tres ediciones anteriores del evento, que reúne cada año a responsables de 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gestión documental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, tecnología, procesos y transformación digital.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80" w:before="280" w:line="276" w:lineRule="auto"/>
        <w:rPr>
          <w:rFonts w:ascii="Arial" w:cs="Arial" w:eastAsia="Arial" w:hAnsi="Arial"/>
          <w:b w:val="1"/>
          <w:bCs w:val="1"/>
          <w:sz w:val="26"/>
          <w:szCs w:val="26"/>
        </w:rPr>
      </w:pPr>
      <w:bookmarkStart w:colFirst="0" w:colLast="0" w:name="_dnexm7qmqgsy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Contenidos prácticos sobre IA, automatización y gestión documental</w:t>
      </w:r>
    </w:p>
    <w:p w:rsidR="00000000" w:rsidDel="00000000" w:rsidP="00000000" w:rsidRDefault="00000000" w:rsidRPr="00000000" w14:paraId="00000007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El programa de #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Acelera2026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combina sesiones técnicas, demostraciones en directo y experiencias de organizaciones que ya están aplicando estas tecnologías a procesos reales. Entre los principales contenidos de esta edición se encuentran: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="276" w:lineRule="auto"/>
        <w:ind w:left="720" w:hanging="360"/>
        <w:rPr>
          <w:rFonts w:ascii="Arial" w:cs="Arial" w:eastAsia="Arial" w:hAnsi="Arial"/>
          <w:color w:val="4c4c4c"/>
        </w:rPr>
      </w:pPr>
      <w:hyperlink r:id="rId10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Inteligencia artificial aplicada a documentos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: agentes y capacidades agénticas,</w:t>
      </w:r>
      <w:hyperlink r:id="rId11">
        <w:r w:rsidDel="00000000" w:rsidR="00000000" w:rsidRPr="00000000">
          <w:rPr>
            <w:rFonts w:ascii="Arial" w:cs="Arial" w:eastAsia="Arial" w:hAnsi="Arial"/>
            <w:color w:val="4c4c4c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MCP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, preparación de documentos para sistemas</w:t>
      </w:r>
      <w:hyperlink r:id="rId13">
        <w:r w:rsidDel="00000000" w:rsidR="00000000" w:rsidRPr="00000000">
          <w:rPr>
            <w:rFonts w:ascii="Arial" w:cs="Arial" w:eastAsia="Arial" w:hAnsi="Arial"/>
            <w:color w:val="4c4c4c"/>
            <w:rtl w:val="0"/>
          </w:rPr>
          <w:t xml:space="preserve"> </w:t>
        </w:r>
      </w:hyperlink>
      <w:hyperlink r:id="rId14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RAG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, clasificación inteligente y extracción de datos.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Automatización de procesos: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aplicación combinada de Athento, RPA e inteligencia artificial, automatización low-code y reducción de tareas manuales en procesos como la gestión de mediaciones y demandas o el leasing de vehículos.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Gestión documental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: gobierno y trazabilidad de la información, gestión de expedientes, cumplimiento normativo y administración de políticas y procedimientos.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="276" w:lineRule="auto"/>
        <w:ind w:left="720" w:hanging="360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Novedades de Athento: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mejoras de usabilidad, nuevas funcionalidades, capacidades incorporadas a la plataforma durante 2026 y demostraciones de su aplicación en situaciones concretas.</w:t>
      </w:r>
    </w:p>
    <w:p w:rsidR="00000000" w:rsidDel="00000000" w:rsidP="00000000" w:rsidRDefault="00000000" w:rsidRPr="00000000" w14:paraId="0000000C">
      <w:pPr>
        <w:pStyle w:val="Heading4"/>
        <w:spacing w:after="240" w:before="240" w:line="276" w:lineRule="auto"/>
        <w:rPr>
          <w:color w:val="4c4c4c"/>
        </w:rPr>
      </w:pPr>
      <w:bookmarkStart w:colFirst="0" w:colLast="0" w:name="_3ydo3wrm1ek1" w:id="2"/>
      <w:bookmarkEnd w:id="2"/>
      <w:r w:rsidDel="00000000" w:rsidR="00000000" w:rsidRPr="00000000">
        <w:rPr>
          <w:color w:val="4c4c4c"/>
          <w:rtl w:val="0"/>
        </w:rPr>
        <w:t xml:space="preserve">“Con #</w:t>
      </w:r>
      <w:r w:rsidDel="00000000" w:rsidR="00000000" w:rsidRPr="00000000">
        <w:rPr>
          <w:color w:val="4c4c4c"/>
          <w:rtl w:val="0"/>
        </w:rPr>
        <w:t xml:space="preserve">Acelera2026</w:t>
      </w:r>
      <w:r w:rsidDel="00000000" w:rsidR="00000000" w:rsidRPr="00000000">
        <w:rPr>
          <w:color w:val="4c4c4c"/>
          <w:rtl w:val="0"/>
        </w:rPr>
        <w:t xml:space="preserve"> queremos mostrar cómo la inteligencia artificial y la automatización ya se están aplicando a procesos documentales reales. El objetivo es que los asistentes conozcan no solo las posibilidades de estas tecnologías, sino también la experiencia y los aprendizajes de las organizaciones que ya las están utilizando”.</w:t>
      </w:r>
    </w:p>
    <w:p w:rsidR="00000000" w:rsidDel="00000000" w:rsidP="00000000" w:rsidRDefault="00000000" w:rsidRPr="00000000" w14:paraId="0000000D">
      <w:pPr>
        <w:pStyle w:val="Heading4"/>
        <w:spacing w:after="240" w:before="240" w:line="276" w:lineRule="auto"/>
        <w:rPr>
          <w:b w:val="1"/>
          <w:bCs w:val="1"/>
          <w:color w:val="4c4c4c"/>
        </w:rPr>
      </w:pPr>
      <w:bookmarkStart w:colFirst="0" w:colLast="0" w:name="_y80rqv3j1kxq" w:id="3"/>
      <w:bookmarkEnd w:id="3"/>
      <w:r w:rsidDel="00000000" w:rsidR="00000000" w:rsidRPr="00000000">
        <w:rPr>
          <w:b w:val="1"/>
          <w:bCs w:val="1"/>
          <w:color w:val="4c4c4c"/>
          <w:rtl w:val="0"/>
        </w:rPr>
        <w:t xml:space="preserve">Verónica Meza, CMO de Athento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after="80" w:before="280" w:line="276" w:lineRule="auto"/>
        <w:rPr>
          <w:rFonts w:ascii="Arial" w:cs="Arial" w:eastAsia="Arial" w:hAnsi="Arial"/>
          <w:b w:val="1"/>
          <w:bCs w:val="1"/>
          <w:sz w:val="26"/>
          <w:szCs w:val="26"/>
        </w:rPr>
      </w:pPr>
      <w:bookmarkStart w:colFirst="0" w:colLast="0" w:name="_wpbgt32zdvp9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Casos reales de España y Latinoamérica</w:t>
      </w:r>
    </w:p>
    <w:p w:rsidR="00000000" w:rsidDel="00000000" w:rsidP="00000000" w:rsidRDefault="00000000" w:rsidRPr="00000000" w14:paraId="00000010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Como en anteriores ediciones, una parte importante del programa estará dedicada a conocer experiencias, proyectos y casos de uso que ya se están desarrollando en organizaciones de diferentes sectores.</w:t>
      </w:r>
    </w:p>
    <w:p w:rsidR="00000000" w:rsidDel="00000000" w:rsidP="00000000" w:rsidRDefault="00000000" w:rsidRPr="00000000" w14:paraId="00000011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Profesionales de organizaciones de España y Latinoamérica compartirán proyectos desarrollados en distintos sectores. El programa permitirá conocer cómo </w:t>
      </w:r>
      <w:hyperlink r:id="rId15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Banco de Occidente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ha automatizado el ciclo de leasing de vehículos; cómo </w:t>
      </w:r>
      <w:hyperlink r:id="rId16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La Caja de Ahorro y Seguro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utiliza un módulo de mediaciones y demandas que combina Athento, RPA e inteligencia artificial; cómo </w:t>
      </w:r>
      <w:hyperlink r:id="rId17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UCASAL</w:t>
        </w:r>
      </w:hyperlink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y</w:t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 </w:t>
      </w:r>
      <w:hyperlink r:id="rId18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SocialPath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gestionan la emisión de microcredenciales digitales; cómo </w:t>
      </w:r>
      <w:hyperlink r:id="rId19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Carvajal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aborda la clasificación y extracción de datos documentales; y cómo </w:t>
      </w:r>
      <w:hyperlink r:id="rId20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Taniwa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integra agentes de voz con procesos empresariales. Por su parte, </w:t>
      </w:r>
      <w:hyperlink r:id="rId21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Krafir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mostrará su aplicación de la gestión documental a la gestión de políticas, procedimientos y cumplimiento normativo.</w:t>
      </w:r>
    </w:p>
    <w:p w:rsidR="00000000" w:rsidDel="00000000" w:rsidP="00000000" w:rsidRDefault="00000000" w:rsidRPr="00000000" w14:paraId="00000012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</w:rPr>
        <w:drawing>
          <wp:inline distB="114300" distT="114300" distL="114300" distR="114300">
            <wp:extent cx="5399730" cy="14351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9730" cy="143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El equipo de Athento también participará con sesiones técnicas y demostraciones para presentar las principales novedades de la plataforma y mostrar cómo se están aplicando nuevas tecnologías en situaciones concretas.</w:t>
      </w:r>
    </w:p>
    <w:p w:rsidR="00000000" w:rsidDel="00000000" w:rsidP="00000000" w:rsidRDefault="00000000" w:rsidRPr="00000000" w14:paraId="00000014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80" w:before="280" w:line="276" w:lineRule="auto"/>
        <w:rPr>
          <w:rFonts w:ascii="Arial" w:cs="Arial" w:eastAsia="Arial" w:hAnsi="Arial"/>
          <w:b w:val="1"/>
          <w:bCs w:val="1"/>
          <w:sz w:val="26"/>
          <w:szCs w:val="26"/>
        </w:rPr>
      </w:pPr>
      <w:bookmarkStart w:colFirst="0" w:colLast="0" w:name="_qzts8ls290gf" w:id="5"/>
      <w:bookmarkEnd w:id="5"/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Una conferencia de gestión documental abierta y gratuita</w:t>
      </w:r>
    </w:p>
    <w:p w:rsidR="00000000" w:rsidDel="00000000" w:rsidP="00000000" w:rsidRDefault="00000000" w:rsidRPr="00000000" w14:paraId="00000016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#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Acelera2026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está dirigida a </w:t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responsables de gestión documental y procesos, profesionales de IT y transformación digital, equipos de compliance, administradores de plataformas documentales, consultores y desarrolladores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, interesados en la aplicación de la inteligencia artificial y la automatización a la gestión de la información.</w:t>
      </w:r>
    </w:p>
    <w:p w:rsidR="00000000" w:rsidDel="00000000" w:rsidP="00000000" w:rsidRDefault="00000000" w:rsidRPr="00000000" w14:paraId="00000017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Los asistentes podrán </w:t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solicitar un certificado de asistencia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y, si se han registrado con un correo corporativo, participar en el sorteo de un </w:t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cheque regalo de Amazon por valor de 100 USD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, de acuerdo con los requisitos establecidos en las bases legales.</w:t>
      </w:r>
    </w:p>
    <w:p w:rsidR="00000000" w:rsidDel="00000000" w:rsidP="00000000" w:rsidRDefault="00000000" w:rsidRPr="00000000" w14:paraId="00000018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after="80" w:before="280" w:line="276" w:lineRule="auto"/>
        <w:rPr>
          <w:rFonts w:ascii="Arial" w:cs="Arial" w:eastAsia="Arial" w:hAnsi="Arial"/>
          <w:b w:val="1"/>
          <w:bCs w:val="1"/>
          <w:sz w:val="26"/>
          <w:szCs w:val="26"/>
        </w:rPr>
      </w:pPr>
      <w:bookmarkStart w:colFirst="0" w:colLast="0" w:name="_nzvz9y6j06fb" w:id="6"/>
      <w:bookmarkEnd w:id="6"/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Datos clave de #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Acelera2026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Fechas: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20, 21 y 22 de octubre de 2026.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Formato: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online y gratuito.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Programa: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12 sesiones en directo.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Temáticas: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inteligencia artificial, automatización, MCP, RAG y gestión documental.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Participación histórica: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más de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434343"/>
          <w:rtl w:val="0"/>
        </w:rPr>
        <w:t xml:space="preserve">1800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profesionales de 23 países.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Inscripción: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abierta en la web de #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Acelera2026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="276" w:lineRule="auto"/>
        <w:rPr>
          <w:rFonts w:ascii="Arial" w:cs="Arial" w:eastAsia="Arial" w:hAnsi="Arial"/>
          <w:b w:val="1"/>
          <w:bCs w:val="1"/>
          <w:color w:val="4c4c4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after="80" w:before="280" w:line="276" w:lineRule="auto"/>
        <w:rPr>
          <w:rFonts w:ascii="Arial" w:cs="Arial" w:eastAsia="Arial" w:hAnsi="Arial"/>
          <w:b w:val="1"/>
          <w:bCs w:val="1"/>
          <w:sz w:val="26"/>
          <w:szCs w:val="26"/>
        </w:rPr>
      </w:pPr>
      <w:bookmarkStart w:colFirst="0" w:colLast="0" w:name="_h7ycvilmlymr" w:id="7"/>
      <w:bookmarkEnd w:id="7"/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Registro abierto para #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Acelera2026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Las inscripciones para </w:t>
      </w:r>
      <w:hyperlink r:id="rId23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#</w:t>
        </w:r>
      </w:hyperlink>
      <w:hyperlink r:id="rId24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Acelera2026</w:t>
        </w:r>
      </w:hyperlink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 ya están abiertas. La participación es gratuita y permite acceder durante tres días a ponencias, demostraciones y experiencias de profesionales que ya están llevando la </w:t>
      </w:r>
      <w:r w:rsidDel="00000000" w:rsidR="00000000" w:rsidRPr="00000000">
        <w:rPr>
          <w:rFonts w:ascii="Arial" w:cs="Arial" w:eastAsia="Arial" w:hAnsi="Arial"/>
          <w:b w:val="1"/>
          <w:bCs w:val="1"/>
          <w:color w:val="4c4c4c"/>
          <w:rtl w:val="0"/>
        </w:rPr>
        <w:t xml:space="preserve">gestión documental, la inteligencia artificial y la automatización de la teoría a la práctica</w:t>
      </w: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.</w:t>
      </w:r>
    </w:p>
    <w:p w:rsidR="00000000" w:rsidDel="00000000" w:rsidP="00000000" w:rsidRDefault="00000000" w:rsidRPr="00000000" w14:paraId="0000001E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👉 </w:t>
      </w:r>
      <w:hyperlink r:id="rId25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Reserva tu plaza gratuita en la web de #</w:t>
        </w:r>
      </w:hyperlink>
      <w:hyperlink r:id="rId26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u w:val="single"/>
            <w:rtl w:val="0"/>
          </w:rPr>
          <w:t xml:space="preserve">Acelera2026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276" w:lineRule="auto"/>
        <w:rPr>
          <w:rFonts w:ascii="Arial" w:cs="Arial" w:eastAsia="Arial" w:hAnsi="Arial"/>
          <w:color w:val="4c4c4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after="80" w:before="280" w:line="276" w:lineRule="auto"/>
        <w:rPr>
          <w:rFonts w:ascii="Arial" w:cs="Arial" w:eastAsia="Arial" w:hAnsi="Arial"/>
          <w:b w:val="1"/>
          <w:bCs w:val="1"/>
          <w:sz w:val="26"/>
          <w:szCs w:val="26"/>
        </w:rPr>
      </w:pPr>
      <w:bookmarkStart w:colFirst="0" w:colLast="0" w:name="_8rwkz051jzii" w:id="8"/>
      <w:bookmarkEnd w:id="8"/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Sobre Athento</w:t>
      </w:r>
    </w:p>
    <w:p w:rsidR="00000000" w:rsidDel="00000000" w:rsidP="00000000" w:rsidRDefault="00000000" w:rsidRPr="00000000" w14:paraId="00000021">
      <w:pPr>
        <w:spacing w:after="240" w:before="240" w:line="276" w:lineRule="auto"/>
        <w:ind w:right="600"/>
        <w:rPr>
          <w:rFonts w:ascii="Arial" w:cs="Arial" w:eastAsia="Arial" w:hAnsi="Arial"/>
          <w:color w:val="434343"/>
        </w:rPr>
      </w:pPr>
      <w:r w:rsidDel="00000000" w:rsidR="00000000" w:rsidRPr="00000000">
        <w:rPr>
          <w:rFonts w:ascii="Arial" w:cs="Arial" w:eastAsia="Arial" w:hAnsi="Arial"/>
          <w:color w:val="4c4c4c"/>
          <w:rtl w:val="0"/>
        </w:rPr>
        <w:t xml:space="preserve">Athento es una plataforma de gestión documental inteligente que permite a organizaciones automatizar procesos, centralizar información y aplicar inteligencia artificial a documentos y expedientes. La compañía trabaja con empresas, entidades financieras y aseguradoras, administraciones públicas y universidades de España y Latinoamérica.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27" w:type="default"/>
      <w:footerReference r:id="rId28" w:type="default"/>
      <w:pgSz w:h="16838" w:w="11906" w:orient="portrait"/>
      <w:pgMar w:bottom="1418" w:top="1418" w:left="1701" w:right="170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rebuchet MS" w:cs="Trebuchet MS" w:eastAsia="Trebuchet MS" w:hAnsi="Trebuchet MS"/>
        <w:rtl w:val="0"/>
      </w:rPr>
      <w:t xml:space="preserve"> | Página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720"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720" w:lineRule="auto"/>
      <w:rPr/>
    </w:pPr>
    <w:r w:rsidDel="00000000" w:rsidR="00000000" w:rsidRPr="00000000">
      <w:rPr>
        <w:rtl w:val="0"/>
      </w:rPr>
    </w:r>
  </w:p>
  <w:tbl>
    <w:tblPr>
      <w:tblStyle w:val="Table1"/>
      <w:tblW w:w="8720.0" w:type="dxa"/>
      <w:jc w:val="left"/>
      <w:tblInd w:w="-229.0" w:type="dxa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7034"/>
      <w:gridCol w:w="1686"/>
      <w:tblGridChange w:id="0">
        <w:tblGrid>
          <w:gridCol w:w="7034"/>
          <w:gridCol w:w="1686"/>
        </w:tblGrid>
      </w:tblGridChange>
    </w:tblGrid>
    <w:tr>
      <w:trPr>
        <w:cantSplit w:val="0"/>
        <w:trHeight w:val="620" w:hRule="atLeast"/>
        <w:tblHeader w:val="0"/>
      </w:trPr>
      <w:tc>
        <w:tcPr>
          <w:tcBorders>
            <w:bottom w:color="0088ad" w:space="0" w:sz="4" w:val="single"/>
          </w:tcBorders>
        </w:tcPr>
        <w:p w:rsidR="00000000" w:rsidDel="00000000" w:rsidP="00000000" w:rsidRDefault="00000000" w:rsidRPr="00000000" w14:paraId="00000024">
          <w:pPr>
            <w:pageBreakBefore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before="720" w:lineRule="auto"/>
            <w:rPr>
              <w:rFonts w:ascii="Trebuchet MS" w:cs="Trebuchet MS" w:eastAsia="Trebuchet MS" w:hAnsi="Trebuchet MS"/>
            </w:rPr>
          </w:pPr>
          <w:r w:rsidDel="00000000" w:rsidR="00000000" w:rsidRPr="00000000">
            <w:rPr>
              <w:rFonts w:ascii="Trebuchet MS" w:cs="Trebuchet MS" w:eastAsia="Trebuchet MS" w:hAnsi="Trebuchet MS"/>
              <w:rtl w:val="0"/>
            </w:rPr>
            <w:t xml:space="preserve">Nota de prensa: 24/09/2026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88ad" w:space="0" w:sz="4" w:val="single"/>
          </w:tcBorders>
        </w:tcPr>
        <w:p w:rsidR="00000000" w:rsidDel="00000000" w:rsidP="00000000" w:rsidRDefault="00000000" w:rsidRPr="00000000" w14:paraId="00000025">
          <w:pPr>
            <w:pageBreakBefore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before="720" w:lineRule="auto"/>
            <w:jc w:val="right"/>
            <w:rPr/>
          </w:pPr>
          <w:r w:rsidDel="00000000" w:rsidR="00000000" w:rsidRPr="00000000">
            <w:rPr/>
            <w:drawing>
              <wp:inline distB="0" distT="0" distL="0" distR="0">
                <wp:extent cx="930854" cy="325799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854" cy="32579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200" w:before="0" w:line="276" w:lineRule="auto"/>
    </w:pPr>
    <w:rPr>
      <w:rFonts w:ascii="Trebuchet MS" w:cs="Trebuchet MS" w:eastAsia="Trebuchet MS" w:hAnsi="Trebuchet MS"/>
      <w:b w:val="1"/>
      <w:bCs w:val="1"/>
      <w:color w:val="0088a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200" w:before="0" w:line="276" w:lineRule="auto"/>
    </w:pPr>
    <w:rPr>
      <w:rFonts w:ascii="Trebuchet MS" w:cs="Trebuchet MS" w:eastAsia="Trebuchet MS" w:hAnsi="Trebuchet MS"/>
      <w:b w:val="0"/>
      <w:bCs w:val="0"/>
      <w:color w:val="79aa39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200" w:before="0" w:line="276" w:lineRule="auto"/>
    </w:pPr>
    <w:rPr>
      <w:rFonts w:ascii="Trebuchet MS" w:cs="Trebuchet MS" w:eastAsia="Trebuchet MS" w:hAnsi="Trebuchet MS"/>
      <w:b w:val="0"/>
      <w:bCs w:val="0"/>
      <w:color w:val="4c4c4c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200" w:before="0" w:line="276" w:lineRule="auto"/>
    </w:pPr>
    <w:rPr>
      <w:rFonts w:ascii="Trebuchet MS" w:cs="Trebuchet MS" w:eastAsia="Trebuchet MS" w:hAnsi="Trebuchet MS"/>
      <w:b w:val="0"/>
      <w:bCs w:val="0"/>
      <w:i w:val="1"/>
      <w:iCs w:val="1"/>
      <w:color w:val="0088ad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200" w:before="0" w:line="276" w:lineRule="auto"/>
    </w:pPr>
    <w:rPr>
      <w:rFonts w:ascii="Trebuchet MS" w:cs="Trebuchet MS" w:eastAsia="Trebuchet MS" w:hAnsi="Trebuchet MS"/>
      <w:b w:val="1"/>
      <w:bCs w:val="1"/>
      <w:i w:val="1"/>
      <w:iCs w:val="1"/>
      <w:color w:val="4c4c4c"/>
      <w:sz w:val="22"/>
      <w:szCs w:val="22"/>
      <w:u w:val="singl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200" w:before="0" w:line="276" w:lineRule="auto"/>
    </w:pPr>
    <w:rPr>
      <w:rFonts w:ascii="Calibri" w:cs="Calibri" w:eastAsia="Calibri" w:hAnsi="Calibri"/>
      <w:b w:val="1"/>
      <w:bCs w:val="1"/>
      <w:color w:val="000000"/>
      <w:sz w:val="22"/>
      <w:szCs w:val="22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Trebuchet MS" w:cs="Trebuchet MS" w:eastAsia="Trebuchet MS" w:hAnsi="Trebuchet MS"/>
      <w:b w:val="0"/>
      <w:bCs w:val="0"/>
      <w:color w:val="0088ad"/>
      <w:sz w:val="80"/>
      <w:szCs w:val="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Trebuchet MS" w:cs="Trebuchet MS" w:eastAsia="Trebuchet MS" w:hAnsi="Trebuchet MS"/>
      <w:b w:val="0"/>
      <w:bCs w:val="0"/>
      <w:i w:val="1"/>
      <w:iCs w:val="1"/>
      <w:color w:val="666666"/>
      <w:sz w:val="44"/>
      <w:szCs w:val="44"/>
    </w:rPr>
  </w:style>
  <w:style w:type="table" w:styleId="Table1">
    <w:basedOn w:val="TableNormal"/>
    <w:pPr>
      <w:spacing w:after="0" w:line="240" w:lineRule="auto"/>
    </w:pPr>
    <w:rPr>
      <w:color w:val="31849b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taniwa.es/" TargetMode="External"/><Relationship Id="rId22" Type="http://schemas.openxmlformats.org/officeDocument/2006/relationships/image" Target="media/image2.png"/><Relationship Id="rId21" Type="http://schemas.openxmlformats.org/officeDocument/2006/relationships/hyperlink" Target="https://krafir.mx/" TargetMode="External"/><Relationship Id="rId24" Type="http://schemas.openxmlformats.org/officeDocument/2006/relationships/hyperlink" Target="https://www.athento.com/es/acelera2026/" TargetMode="External"/><Relationship Id="rId23" Type="http://schemas.openxmlformats.org/officeDocument/2006/relationships/hyperlink" Target="https://www.athento.com/es/acelera2026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thento.com/es/" TargetMode="External"/><Relationship Id="rId26" Type="http://schemas.openxmlformats.org/officeDocument/2006/relationships/hyperlink" Target="https://www.athento.com/es/acelera2026/#formulario" TargetMode="External"/><Relationship Id="rId25" Type="http://schemas.openxmlformats.org/officeDocument/2006/relationships/hyperlink" Target="https://www.athento.com/es/acelera2026/#formulario" TargetMode="External"/><Relationship Id="rId28" Type="http://schemas.openxmlformats.org/officeDocument/2006/relationships/footer" Target="footer1.xml"/><Relationship Id="rId27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www.athento.com/es/acelera2026/" TargetMode="External"/><Relationship Id="rId7" Type="http://schemas.openxmlformats.org/officeDocument/2006/relationships/hyperlink" Target="https://www.athento.com/es/acelera2026/" TargetMode="External"/><Relationship Id="rId8" Type="http://schemas.openxmlformats.org/officeDocument/2006/relationships/hyperlink" Target="https://www.athento.com/es/acelera2026/#agenda" TargetMode="External"/><Relationship Id="rId11" Type="http://schemas.openxmlformats.org/officeDocument/2006/relationships/hyperlink" Target="https://www.athento.com/es/athento-el-primer-gestor-documental-con-mcp/" TargetMode="External"/><Relationship Id="rId10" Type="http://schemas.openxmlformats.org/officeDocument/2006/relationships/hyperlink" Target="https://www.athento.com/es/funcionalidad-inteligencia-artificial-en-gestion-documental/" TargetMode="External"/><Relationship Id="rId13" Type="http://schemas.openxmlformats.org/officeDocument/2006/relationships/hyperlink" Target="https://www.athento.com/es/generacion-aumentada-de-recuperacion-rag/" TargetMode="External"/><Relationship Id="rId12" Type="http://schemas.openxmlformats.org/officeDocument/2006/relationships/hyperlink" Target="https://www.athento.com/es/athento-el-primer-gestor-documental-con-mcp/" TargetMode="External"/><Relationship Id="rId15" Type="http://schemas.openxmlformats.org/officeDocument/2006/relationships/hyperlink" Target="https://www.bancodeoccidente.com.co/" TargetMode="External"/><Relationship Id="rId14" Type="http://schemas.openxmlformats.org/officeDocument/2006/relationships/hyperlink" Target="https://www.athento.com/es/generacion-aumentada-de-recuperacion-rag/" TargetMode="External"/><Relationship Id="rId17" Type="http://schemas.openxmlformats.org/officeDocument/2006/relationships/hyperlink" Target="https://www.ucasal.edu.ar/" TargetMode="External"/><Relationship Id="rId16" Type="http://schemas.openxmlformats.org/officeDocument/2006/relationships/hyperlink" Target="https://seguros.lacaja.com.ar/" TargetMode="External"/><Relationship Id="rId19" Type="http://schemas.openxmlformats.org/officeDocument/2006/relationships/hyperlink" Target="https://www.carvajal.com/" TargetMode="External"/><Relationship Id="rId18" Type="http://schemas.openxmlformats.org/officeDocument/2006/relationships/hyperlink" Target="https://socialpath.com.a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