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b w:val="1"/>
          <w:bCs w:val="1"/>
        </w:rPr>
      </w:pPr>
      <w:r w:rsidDel="00000000" w:rsidR="00000000" w:rsidRPr="00000000">
        <w:rPr>
          <w:b w:val="1"/>
          <w:bCs w:val="1"/>
          <w:sz w:val="26"/>
          <w:szCs w:val="26"/>
          <w:rtl w:val="0"/>
        </w:rPr>
        <w:t xml:space="preserve">Pleasure Assets: la tendencia que lleva el capital latinoamericano a España</w:t>
        <w:br w:type="textWrapping"/>
        <w:br w:type="textWrapping"/>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002">
      <w:pPr>
        <w:jc w:val="both"/>
        <w:rPr>
          <w:sz w:val="24"/>
          <w:szCs w:val="24"/>
        </w:rPr>
      </w:pPr>
      <w:r w:rsidDel="00000000" w:rsidR="00000000" w:rsidRPr="00000000">
        <w:rPr>
          <w:sz w:val="24"/>
          <w:szCs w:val="24"/>
          <w:rtl w:val="0"/>
        </w:rPr>
        <w:t xml:space="preserve">Hay una clase de activos que los mercados globales llaman Pleasure Assets. Son bienes que ganan valor mientras los usas. Un departamento con terraza en Malasaña; una casa en Costa Rica que alquilas en verano y disfrutas en invierno. En 2026 esta idea dejó de ser un capricho de millonarios y hoy es una estrategia que inversionistas de distintos rangos consideran; el lugar donde esa estrategia rinde más se llama España.</w:t>
        <w:br w:type="textWrapping"/>
      </w:r>
    </w:p>
    <w:p w:rsidR="00000000" w:rsidDel="00000000" w:rsidP="00000000" w:rsidRDefault="00000000" w:rsidRPr="00000000" w14:paraId="00000003">
      <w:pPr>
        <w:jc w:val="both"/>
        <w:rPr>
          <w:sz w:val="24"/>
          <w:szCs w:val="24"/>
        </w:rPr>
      </w:pPr>
      <w:r w:rsidDel="00000000" w:rsidR="00000000" w:rsidRPr="00000000">
        <w:rPr>
          <w:sz w:val="24"/>
          <w:szCs w:val="24"/>
          <w:rtl w:val="0"/>
        </w:rPr>
        <w:t xml:space="preserve">La encuesta de intenciones de inversión de CBRE para 2026 lo confirma sin ambigüedades. España es por primera vez el destino inmobiliario más atractivo de Europa y desplazó a Reino Unido, Alemania y Francia. ¿La razón? Son varias, pero sin duda la que más destaca es su calidad de ser un Pleasure Asset que ofrece activos que además de rentar por sobre la norma, permiten ser disfrutados con una copa de sangría en la mano. De hecho, tan solo el año pasado entraron al país más de 18.400 millones de euros, un 31% más que en 2024, mientras que la proyección para este año habla de entre 19.000 y 21.000 millones. Así, el sector Living, que incluye el residencial, se mantiene como el principal destino de inversión por segundo año consecutivo con un 34% de las respuestas de los inversores institucionales europeos.</w:t>
        <w:br w:type="textWrapping"/>
      </w:r>
    </w:p>
    <w:p w:rsidR="00000000" w:rsidDel="00000000" w:rsidP="00000000" w:rsidRDefault="00000000" w:rsidRPr="00000000" w14:paraId="00000004">
      <w:pPr>
        <w:jc w:val="both"/>
        <w:rPr>
          <w:sz w:val="24"/>
          <w:szCs w:val="24"/>
        </w:rPr>
      </w:pPr>
      <w:r w:rsidDel="00000000" w:rsidR="00000000" w:rsidRPr="00000000">
        <w:rPr>
          <w:sz w:val="24"/>
          <w:szCs w:val="24"/>
          <w:rtl w:val="0"/>
        </w:rPr>
        <w:t xml:space="preserve">Los números no mienten. El coste financiero en España oscila entre el 2,8% y el 3,5%, mientras que en Estados Unidos ronda el 6% o el 7%. A la par, el Banco de España cuantifica el déficit estructural de vivienda en unas 600.000 unidades y la demanda internacional proyecta entre 1,5 y 2 millones de nuevos habitantes. Eso no es un mercado caliente, es una oportunidad única que tarde o temprano se traduce en plusvalía.</w:t>
        <w:br w:type="textWrapping"/>
      </w:r>
    </w:p>
    <w:p w:rsidR="00000000" w:rsidDel="00000000" w:rsidP="00000000" w:rsidRDefault="00000000" w:rsidRPr="00000000" w14:paraId="00000005">
      <w:pPr>
        <w:jc w:val="both"/>
        <w:rPr>
          <w:sz w:val="24"/>
          <w:szCs w:val="24"/>
        </w:rPr>
      </w:pPr>
      <w:r w:rsidDel="00000000" w:rsidR="00000000" w:rsidRPr="00000000">
        <w:rPr>
          <w:sz w:val="24"/>
          <w:szCs w:val="24"/>
          <w:rtl w:val="0"/>
        </w:rPr>
        <w:t xml:space="preserve">Pero la historia más potente viene del otro lado del Atlántico. Latinoamérica está viviendo la mayor salida de capital privado de su historia hacia activos tangibles en el exterior y más del 68% de los latinoamericanos con patrimonio significativo busca trasladar parte de sus activos fuera de la región y el 49% está extremadamente preocupado por la seguridad de su patrimonio. De hecho, la región en su conjunto supera los 1.750 millones en los últimos seis años y solo en 2024 se transaron 523 millones, el 30% del total acumulado en ese lapso</w:t>
        <w:br w:type="textWrapping"/>
      </w:r>
    </w:p>
    <w:p w:rsidR="00000000" w:rsidDel="00000000" w:rsidP="00000000" w:rsidRDefault="00000000" w:rsidRPr="00000000" w14:paraId="00000006">
      <w:pPr>
        <w:jc w:val="both"/>
        <w:rPr>
          <w:sz w:val="24"/>
          <w:szCs w:val="24"/>
        </w:rPr>
      </w:pPr>
      <w:r w:rsidDel="00000000" w:rsidR="00000000" w:rsidRPr="00000000">
        <w:rPr>
          <w:sz w:val="24"/>
          <w:szCs w:val="24"/>
          <w:rtl w:val="0"/>
        </w:rPr>
        <w:t xml:space="preserve">Madrid concentra más del 60% de esa actividad, mientras que Valencia aparece de a poco como la nueva atracción del barrio. La afinidad cultural, el idioma compartido y marcos legales similares reducen la fricción de las operaciones. Esto llega a tal punto, que Madrid, donde más de un millón de residentes son latinoamericanos, se ha ganado el apodo de la nueva Miami entre los inversores de la región.</w:t>
        <w:br w:type="textWrapping"/>
      </w:r>
    </w:p>
    <w:p w:rsidR="00000000" w:rsidDel="00000000" w:rsidP="00000000" w:rsidRDefault="00000000" w:rsidRPr="00000000" w14:paraId="00000007">
      <w:pPr>
        <w:jc w:val="both"/>
        <w:rPr>
          <w:sz w:val="24"/>
          <w:szCs w:val="24"/>
        </w:rPr>
      </w:pPr>
      <w:r w:rsidDel="00000000" w:rsidR="00000000" w:rsidRPr="00000000">
        <w:rPr>
          <w:sz w:val="24"/>
          <w:szCs w:val="24"/>
          <w:rtl w:val="0"/>
        </w:rPr>
        <w:t xml:space="preserve">Claro que Portugal rinde entre el 5% y el 8% en el Algarve; Grecia mueve del 5% al 9% en Atenas y sus islas; Italia brilla en Toscana y Francia tiene nichos como Colmar con tasas del 9,3%; Praga subió un 14,6% en 2025. Pero ninguno de esos mercados ofrece la escala, la liquidez y la comunidad latina más grande de Europa que tiene Madrid. El dinero latinoamericano no busca solo rentabilidad, sino que también busca un lugar donde la inversión se sienta como casa.</w:t>
        <w:br w:type="textWrapping"/>
      </w:r>
    </w:p>
    <w:p w:rsidR="00000000" w:rsidDel="00000000" w:rsidP="00000000" w:rsidRDefault="00000000" w:rsidRPr="00000000" w14:paraId="00000008">
      <w:pPr>
        <w:jc w:val="both"/>
        <w:rPr>
          <w:sz w:val="24"/>
          <w:szCs w:val="24"/>
        </w:rPr>
      </w:pPr>
      <w:r w:rsidDel="00000000" w:rsidR="00000000" w:rsidRPr="00000000">
        <w:rPr>
          <w:sz w:val="24"/>
          <w:szCs w:val="24"/>
          <w:rtl w:val="0"/>
        </w:rPr>
        <w:t xml:space="preserve">Luego el fenómeno no se limita a grandes operaciones institucionales. Más del 90% de las transacciones en España se concentran sobre stock existente, no sobre obra nueva. Eso significa que quien sabe comprar, reformar y operar en el mercado secundario puede capturar valor que el resto del mercado no ha descontado. De esta manera, las zonas seleccionadas de Madrid han crecido por encima del 40% en euros por metro cuadrado frente a sus comparables, con rentabilidades entre un 30% y un 70% sobre el mercado base.</w:t>
        <w:br w:type="textWrapping"/>
      </w:r>
    </w:p>
    <w:p w:rsidR="00000000" w:rsidDel="00000000" w:rsidP="00000000" w:rsidRDefault="00000000" w:rsidRPr="00000000" w14:paraId="00000009">
      <w:pPr>
        <w:jc w:val="both"/>
        <w:rPr>
          <w:sz w:val="24"/>
          <w:szCs w:val="24"/>
        </w:rPr>
      </w:pPr>
      <w:r w:rsidDel="00000000" w:rsidR="00000000" w:rsidRPr="00000000">
        <w:rPr>
          <w:sz w:val="24"/>
          <w:szCs w:val="24"/>
          <w:rtl w:val="0"/>
        </w:rPr>
        <w:t xml:space="preserve">Carla Quiroga, CEO de 122 Homes, una firma chileno-española especializada en la identificación, adquisición, reforma y operación de activos residenciales en el mercado secundario de Madrid, señala "el inversor latinoamericano que llega ahora no paga el costo del aprendizaje. Llega cuando el modelo ya está probado."</w:t>
        <w:br w:type="textWrapping"/>
      </w:r>
    </w:p>
    <w:p w:rsidR="00000000" w:rsidDel="00000000" w:rsidP="00000000" w:rsidRDefault="00000000" w:rsidRPr="00000000" w14:paraId="0000000A">
      <w:pPr>
        <w:jc w:val="both"/>
        <w:rPr>
          <w:sz w:val="24"/>
          <w:szCs w:val="24"/>
        </w:rPr>
      </w:pPr>
      <w:r w:rsidDel="00000000" w:rsidR="00000000" w:rsidRPr="00000000">
        <w:rPr>
          <w:sz w:val="24"/>
          <w:szCs w:val="24"/>
          <w:rtl w:val="0"/>
        </w:rPr>
        <w:t xml:space="preserve">Quiroga fundó la compañía en 2020 y hoy administra once viviendas en Madrid con una valorización promedio de cartera cercana al 92%, frente al 51% registrado por los distritos donde opera. De hecho, por dar un ejemplo, uno de sus departamentos de 77 metros en Malasaña comprado en 422.100 euros ya acumuló una plusvalía bruta de 161.867 euros en 19 meses. El ROI total llegó al 26,6% sobre una inversión total de 608.133 euros.</w:t>
        <w:br w:type="textWrapping"/>
      </w:r>
    </w:p>
    <w:p w:rsidR="00000000" w:rsidDel="00000000" w:rsidP="00000000" w:rsidRDefault="00000000" w:rsidRPr="00000000" w14:paraId="0000000B">
      <w:pPr>
        <w:jc w:val="both"/>
        <w:rPr>
          <w:sz w:val="24"/>
          <w:szCs w:val="24"/>
        </w:rPr>
      </w:pPr>
      <w:r w:rsidDel="00000000" w:rsidR="00000000" w:rsidRPr="00000000">
        <w:rPr>
          <w:sz w:val="24"/>
          <w:szCs w:val="24"/>
          <w:rtl w:val="0"/>
        </w:rPr>
        <w:t xml:space="preserve">En simple, la pregunta ya no es si conviene invertir en ladrillo. Es si ese ladrillo te permite ver la Plaza Mayor mientras rinde. El Pleasure Asset dejó de ser una anécdota y en 2026 tiene nombre, apellido y código postal. Y empieza con la letra E.</w:t>
      </w:r>
    </w:p>
    <w:p w:rsidR="00000000" w:rsidDel="00000000" w:rsidP="00000000" w:rsidRDefault="00000000" w:rsidRPr="00000000" w14:paraId="0000000C">
      <w:pPr>
        <w:jc w:val="both"/>
        <w:rPr>
          <w:b w:val="1"/>
          <w:bCs w:val="1"/>
          <w:sz w:val="32"/>
          <w:szCs w:val="32"/>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