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300" w:lineRule="auto"/>
        <w:jc w:val="left"/>
        <w:rPr/>
      </w:pPr>
      <w:r w:rsidDel="00000000" w:rsidR="00000000" w:rsidRPr="00000000">
        <w:rPr>
          <w:rFonts w:ascii="Calibri" w:cs="Calibri" w:eastAsia="Calibri" w:hAnsi="Calibri"/>
          <w:b w:val="1"/>
          <w:bCs w:val="1"/>
          <w:i w:val="0"/>
          <w:iCs w:val="0"/>
          <w:color w:val="1f6fb2"/>
          <w:sz w:val="20"/>
          <w:szCs w:val="20"/>
          <w:rtl w:val="0"/>
        </w:rPr>
        <w:t xml:space="preserve">NOTA DE PRENSA</w:t>
      </w:r>
      <w:r w:rsidDel="00000000" w:rsidR="00000000" w:rsidRPr="00000000">
        <w:rPr>
          <w:rtl w:val="0"/>
        </w:rPr>
      </w:r>
    </w:p>
    <w:p w:rsidR="00000000" w:rsidDel="00000000" w:rsidP="00000000" w:rsidRDefault="00000000" w:rsidRPr="00000000" w14:paraId="00000002">
      <w:pPr>
        <w:spacing w:after="60" w:line="300" w:lineRule="auto"/>
        <w:jc w:val="left"/>
        <w:rPr/>
      </w:pPr>
      <w:r w:rsidDel="00000000" w:rsidR="00000000" w:rsidRPr="00000000">
        <w:rPr>
          <w:rtl w:val="0"/>
        </w:rPr>
      </w:r>
    </w:p>
    <w:p w:rsidR="00000000" w:rsidDel="00000000" w:rsidP="00000000" w:rsidRDefault="00000000" w:rsidRPr="00000000" w14:paraId="00000003">
      <w:pPr>
        <w:spacing w:after="160" w:line="320" w:lineRule="auto"/>
        <w:rPr/>
      </w:pPr>
      <w:r w:rsidDel="00000000" w:rsidR="00000000" w:rsidRPr="00000000">
        <w:rPr>
          <w:rFonts w:ascii="Calibri" w:cs="Calibri" w:eastAsia="Calibri" w:hAnsi="Calibri"/>
          <w:b w:val="1"/>
          <w:bCs w:val="1"/>
          <w:sz w:val="30"/>
          <w:szCs w:val="30"/>
          <w:rtl w:val="0"/>
        </w:rPr>
        <w:t xml:space="preserve">Summy Yogurt Experience factura 1,72 millones de euros en el primer semestre de 2026, un 64% más, y alcanza los 33 establecimientos</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480" w:right="0" w:hanging="2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cadena </w:t>
      </w:r>
      <w:r w:rsidDel="00000000" w:rsidR="00000000" w:rsidRPr="00000000">
        <w:rPr>
          <w:rtl w:val="0"/>
        </w:rPr>
        <w:t xml:space="preserve">murciana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de yogur helado natural suma 1</w:t>
      </w:r>
      <w:r w:rsidDel="00000000" w:rsidR="00000000" w:rsidRPr="00000000">
        <w:rPr>
          <w:rtl w:val="0"/>
        </w:rPr>
        <w:t xml:space="preserve">1</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nuevas aperturas en España en los primeros seis meses del año y eleva su red nacional a 32 locales.</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480" w:right="0" w:hanging="2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enseña abrirá su segunda yogurtería en El Salvador dentro de su primer año de expansión internacional, con una media de 1,83 aperturas al mes en el semestre.</w:t>
      </w:r>
    </w:p>
    <w:p w:rsidR="00000000" w:rsidDel="00000000" w:rsidP="00000000" w:rsidRDefault="00000000" w:rsidRPr="00000000" w14:paraId="00000006">
      <w:pPr>
        <w:spacing w:after="200" w:lineRule="auto"/>
        <w:rPr/>
      </w:pPr>
      <w:r w:rsidDel="00000000" w:rsidR="00000000" w:rsidRPr="00000000">
        <w:rPr>
          <w:rtl w:val="0"/>
        </w:rPr>
      </w:r>
    </w:p>
    <w:p w:rsidR="00000000" w:rsidDel="00000000" w:rsidP="00000000" w:rsidRDefault="00000000" w:rsidRPr="00000000" w14:paraId="00000007">
      <w:pPr>
        <w:spacing w:after="200" w:line="300" w:lineRule="auto"/>
        <w:jc w:val="both"/>
        <w:rPr>
          <w:rFonts w:ascii="Calibri" w:cs="Calibri" w:eastAsia="Calibri" w:hAnsi="Calibri"/>
          <w:b w:val="0"/>
          <w:bCs w:val="0"/>
          <w:i w:val="0"/>
          <w:iCs w:val="0"/>
          <w:color w:val="000000"/>
          <w:sz w:val="22"/>
          <w:szCs w:val="22"/>
        </w:rPr>
      </w:pPr>
      <w:r w:rsidDel="00000000" w:rsidR="00000000" w:rsidRPr="00000000">
        <w:rPr>
          <w:rFonts w:ascii="Calibri" w:cs="Calibri" w:eastAsia="Calibri" w:hAnsi="Calibri"/>
          <w:b w:val="0"/>
          <w:bCs w:val="0"/>
          <w:i w:val="0"/>
          <w:iCs w:val="0"/>
          <w:color w:val="000000"/>
          <w:sz w:val="22"/>
          <w:szCs w:val="22"/>
          <w:rtl w:val="0"/>
        </w:rPr>
        <w:t xml:space="preserve">Murcia, </w:t>
      </w:r>
      <w:r w:rsidDel="00000000" w:rsidR="00000000" w:rsidRPr="00000000">
        <w:rPr>
          <w:rtl w:val="0"/>
        </w:rPr>
        <w:t xml:space="preserve">24</w:t>
      </w:r>
      <w:r w:rsidDel="00000000" w:rsidR="00000000" w:rsidRPr="00000000">
        <w:rPr>
          <w:rFonts w:ascii="Calibri" w:cs="Calibri" w:eastAsia="Calibri" w:hAnsi="Calibri"/>
          <w:b w:val="0"/>
          <w:bCs w:val="0"/>
          <w:i w:val="0"/>
          <w:iCs w:val="0"/>
          <w:color w:val="000000"/>
          <w:sz w:val="22"/>
          <w:szCs w:val="22"/>
          <w:rtl w:val="0"/>
        </w:rPr>
        <w:t xml:space="preserve"> de</w:t>
      </w:r>
      <w:r w:rsidDel="00000000" w:rsidR="00000000" w:rsidRPr="00000000">
        <w:rPr>
          <w:rtl w:val="0"/>
        </w:rPr>
        <w:t xml:space="preserve"> agosto</w:t>
      </w:r>
      <w:r w:rsidDel="00000000" w:rsidR="00000000" w:rsidRPr="00000000">
        <w:rPr>
          <w:rFonts w:ascii="Calibri" w:cs="Calibri" w:eastAsia="Calibri" w:hAnsi="Calibri"/>
          <w:b w:val="0"/>
          <w:bCs w:val="0"/>
          <w:i w:val="0"/>
          <w:iCs w:val="0"/>
          <w:color w:val="000000"/>
          <w:sz w:val="22"/>
          <w:szCs w:val="22"/>
          <w:rtl w:val="0"/>
        </w:rPr>
        <w:t xml:space="preserve"> de 2026.– </w:t>
      </w:r>
    </w:p>
    <w:p w:rsidR="00000000" w:rsidDel="00000000" w:rsidP="00000000" w:rsidRDefault="00000000" w:rsidRPr="00000000" w14:paraId="00000008">
      <w:pPr>
        <w:spacing w:after="200" w:line="300" w:lineRule="auto"/>
        <w:jc w:val="both"/>
        <w:rPr/>
      </w:pPr>
      <w:r w:rsidDel="00000000" w:rsidR="00000000" w:rsidRPr="00000000">
        <w:rPr>
          <w:rFonts w:ascii="Calibri" w:cs="Calibri" w:eastAsia="Calibri" w:hAnsi="Calibri"/>
          <w:b w:val="0"/>
          <w:bCs w:val="0"/>
          <w:i w:val="0"/>
          <w:iCs w:val="0"/>
          <w:color w:val="000000"/>
          <w:sz w:val="22"/>
          <w:szCs w:val="22"/>
          <w:rtl w:val="0"/>
        </w:rPr>
        <w:t xml:space="preserve">Summy Yogurt Experience, la enseña </w:t>
      </w:r>
      <w:r w:rsidDel="00000000" w:rsidR="00000000" w:rsidRPr="00000000">
        <w:rPr>
          <w:rtl w:val="0"/>
        </w:rPr>
        <w:t xml:space="preserve">murciana</w:t>
      </w:r>
      <w:r w:rsidDel="00000000" w:rsidR="00000000" w:rsidRPr="00000000">
        <w:rPr>
          <w:rFonts w:ascii="Calibri" w:cs="Calibri" w:eastAsia="Calibri" w:hAnsi="Calibri"/>
          <w:b w:val="0"/>
          <w:bCs w:val="0"/>
          <w:i w:val="0"/>
          <w:iCs w:val="0"/>
          <w:color w:val="000000"/>
          <w:sz w:val="22"/>
          <w:szCs w:val="22"/>
          <w:rtl w:val="0"/>
        </w:rPr>
        <w:t xml:space="preserve"> especializada en yogur helado natural y productos saludables, ha cerrado el primer semestre de 2026 con una facturación de red de 1.725.000 euros, lo que supone un crecimiento del 64% respecto al mismo periodo de 2025 (1.050.000 euros) y un incremento de 675.000 euros en términos absolutos.</w:t>
      </w:r>
      <w:r w:rsidDel="00000000" w:rsidR="00000000" w:rsidRPr="00000000">
        <w:rPr>
          <w:rtl w:val="0"/>
        </w:rPr>
      </w:r>
    </w:p>
    <w:p w:rsidR="00000000" w:rsidDel="00000000" w:rsidP="00000000" w:rsidRDefault="00000000" w:rsidRPr="00000000" w14:paraId="00000009">
      <w:pPr>
        <w:spacing w:after="200" w:line="300" w:lineRule="auto"/>
        <w:jc w:val="both"/>
        <w:rPr/>
      </w:pPr>
      <w:r w:rsidDel="00000000" w:rsidR="00000000" w:rsidRPr="00000000">
        <w:rPr>
          <w:rFonts w:ascii="Calibri" w:cs="Calibri" w:eastAsia="Calibri" w:hAnsi="Calibri"/>
          <w:b w:val="0"/>
          <w:bCs w:val="0"/>
          <w:i w:val="0"/>
          <w:iCs w:val="0"/>
          <w:color w:val="000000"/>
          <w:sz w:val="22"/>
          <w:szCs w:val="22"/>
          <w:rtl w:val="0"/>
        </w:rPr>
        <w:t xml:space="preserve">El crecimiento en ventas ha ido acompañado de una fuerte expansión de la red: entre enero y junio la compañía ha inaugurado 10 nuevos establecimientos en territorio nacional, alcanzando los 32 locales en España, un 65% más que hace un año. A ellos se suma su presencia internacional en </w:t>
      </w:r>
      <w:r w:rsidDel="00000000" w:rsidR="00000000" w:rsidRPr="00000000">
        <w:rPr>
          <w:b w:val="1"/>
          <w:bCs w:val="1"/>
          <w:i w:val="0"/>
          <w:iCs w:val="0"/>
          <w:color w:val="000000"/>
          <w:sz w:val="22"/>
          <w:szCs w:val="22"/>
          <w:rtl w:val="0"/>
        </w:rPr>
        <w:t xml:space="preserve">El Salvador</w:t>
      </w:r>
      <w:r w:rsidDel="00000000" w:rsidR="00000000" w:rsidRPr="00000000">
        <w:rPr>
          <w:rFonts w:ascii="Calibri" w:cs="Calibri" w:eastAsia="Calibri" w:hAnsi="Calibri"/>
          <w:b w:val="0"/>
          <w:bCs w:val="0"/>
          <w:i w:val="0"/>
          <w:iCs w:val="0"/>
          <w:color w:val="000000"/>
          <w:sz w:val="22"/>
          <w:szCs w:val="22"/>
          <w:rtl w:val="0"/>
        </w:rPr>
        <w:t xml:space="preserve">, donde la marca abrirá su segunda yogurtería dentro del primer año desde su llegada al país, elevando la red total a 33 establecimientos y una media de 1,83 aperturas al mes durante el semestre.</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1900"/>
        <w:gridCol w:w="1900"/>
        <w:gridCol w:w="2360"/>
        <w:tblGridChange w:id="0">
          <w:tblGrid>
            <w:gridCol w:w="3200"/>
            <w:gridCol w:w="1900"/>
            <w:gridCol w:w="1900"/>
            <w:gridCol w:w="2360"/>
          </w:tblGrid>
        </w:tblGridChange>
      </w:tblGrid>
      <w:tr>
        <w:trPr>
          <w:cantSplit w:val="0"/>
          <w:tblHeader w:val="0"/>
        </w:trPr>
        <w:tc>
          <w:tcPr>
            <w:shd w:fill="1f6fb2" w:val="clear"/>
            <w:tcMar>
              <w:top w:w="80.0" w:type="dxa"/>
              <w:left w:w="120.0" w:type="dxa"/>
              <w:bottom w:w="80.0" w:type="dxa"/>
              <w:right w:w="120.0" w:type="dxa"/>
            </w:tcMar>
          </w:tcPr>
          <w:p w:rsidR="00000000" w:rsidDel="00000000" w:rsidP="00000000" w:rsidRDefault="00000000" w:rsidRPr="00000000" w14:paraId="0000000A">
            <w:pPr>
              <w:jc w:val="center"/>
              <w:rPr/>
            </w:pPr>
            <w:r w:rsidDel="00000000" w:rsidR="00000000" w:rsidRPr="00000000">
              <w:rPr>
                <w:rFonts w:ascii="Calibri" w:cs="Calibri" w:eastAsia="Calibri" w:hAnsi="Calibri"/>
                <w:b w:val="1"/>
                <w:bCs w:val="1"/>
                <w:color w:val="ffffff"/>
                <w:sz w:val="21"/>
                <w:szCs w:val="21"/>
                <w:rtl w:val="0"/>
              </w:rPr>
              <w:t xml:space="preserve">Datos</w:t>
            </w:r>
            <w:r w:rsidDel="00000000" w:rsidR="00000000" w:rsidRPr="00000000">
              <w:rPr>
                <w:rtl w:val="0"/>
              </w:rPr>
            </w:r>
          </w:p>
        </w:tc>
        <w:tc>
          <w:tcPr>
            <w:shd w:fill="1f6fb2" w:val="clear"/>
            <w:tcMar>
              <w:top w:w="80.0" w:type="dxa"/>
              <w:left w:w="120.0" w:type="dxa"/>
              <w:bottom w:w="80.0" w:type="dxa"/>
              <w:right w:w="120.0" w:type="dxa"/>
            </w:tcMar>
          </w:tcPr>
          <w:p w:rsidR="00000000" w:rsidDel="00000000" w:rsidP="00000000" w:rsidRDefault="00000000" w:rsidRPr="00000000" w14:paraId="0000000B">
            <w:pPr>
              <w:jc w:val="center"/>
              <w:rPr/>
            </w:pPr>
            <w:r w:rsidDel="00000000" w:rsidR="00000000" w:rsidRPr="00000000">
              <w:rPr>
                <w:rFonts w:ascii="Calibri" w:cs="Calibri" w:eastAsia="Calibri" w:hAnsi="Calibri"/>
                <w:b w:val="1"/>
                <w:bCs w:val="1"/>
                <w:color w:val="ffffff"/>
                <w:sz w:val="21"/>
                <w:szCs w:val="21"/>
                <w:rtl w:val="0"/>
              </w:rPr>
              <w:t xml:space="preserve">1er sem. 2025</w:t>
            </w:r>
            <w:r w:rsidDel="00000000" w:rsidR="00000000" w:rsidRPr="00000000">
              <w:rPr>
                <w:rtl w:val="0"/>
              </w:rPr>
            </w:r>
          </w:p>
        </w:tc>
        <w:tc>
          <w:tcPr>
            <w:shd w:fill="1f6fb2" w:val="clear"/>
            <w:tcMar>
              <w:top w:w="80.0" w:type="dxa"/>
              <w:left w:w="120.0" w:type="dxa"/>
              <w:bottom w:w="80.0" w:type="dxa"/>
              <w:right w:w="120.0" w:type="dxa"/>
            </w:tcMar>
          </w:tcPr>
          <w:p w:rsidR="00000000" w:rsidDel="00000000" w:rsidP="00000000" w:rsidRDefault="00000000" w:rsidRPr="00000000" w14:paraId="0000000C">
            <w:pPr>
              <w:jc w:val="center"/>
              <w:rPr/>
            </w:pPr>
            <w:r w:rsidDel="00000000" w:rsidR="00000000" w:rsidRPr="00000000">
              <w:rPr>
                <w:rFonts w:ascii="Calibri" w:cs="Calibri" w:eastAsia="Calibri" w:hAnsi="Calibri"/>
                <w:b w:val="1"/>
                <w:bCs w:val="1"/>
                <w:color w:val="ffffff"/>
                <w:sz w:val="21"/>
                <w:szCs w:val="21"/>
                <w:rtl w:val="0"/>
              </w:rPr>
              <w:t xml:space="preserve">1er sem. 2026</w:t>
            </w:r>
            <w:r w:rsidDel="00000000" w:rsidR="00000000" w:rsidRPr="00000000">
              <w:rPr>
                <w:rtl w:val="0"/>
              </w:rPr>
            </w:r>
          </w:p>
        </w:tc>
        <w:tc>
          <w:tcPr>
            <w:shd w:fill="1f6fb2" w:val="clear"/>
            <w:tcMar>
              <w:top w:w="80.0" w:type="dxa"/>
              <w:left w:w="120.0" w:type="dxa"/>
              <w:bottom w:w="80.0" w:type="dxa"/>
              <w:right w:w="120.0" w:type="dxa"/>
            </w:tcMar>
          </w:tcPr>
          <w:p w:rsidR="00000000" w:rsidDel="00000000" w:rsidP="00000000" w:rsidRDefault="00000000" w:rsidRPr="00000000" w14:paraId="0000000D">
            <w:pPr>
              <w:jc w:val="center"/>
              <w:rPr/>
            </w:pPr>
            <w:r w:rsidDel="00000000" w:rsidR="00000000" w:rsidRPr="00000000">
              <w:rPr>
                <w:rFonts w:ascii="Calibri" w:cs="Calibri" w:eastAsia="Calibri" w:hAnsi="Calibri"/>
                <w:b w:val="1"/>
                <w:bCs w:val="1"/>
                <w:color w:val="ffffff"/>
                <w:sz w:val="21"/>
                <w:szCs w:val="21"/>
                <w:rtl w:val="0"/>
              </w:rPr>
              <w:t xml:space="preserve">Evolución</w:t>
            </w:r>
            <w:r w:rsidDel="00000000" w:rsidR="00000000" w:rsidRPr="00000000">
              <w:rPr>
                <w:rtl w:val="0"/>
              </w:rPr>
            </w:r>
          </w:p>
        </w:tc>
      </w:tr>
      <w:tr>
        <w:trPr>
          <w:cantSplit w:val="0"/>
          <w:tblHeader w:val="0"/>
        </w:trPr>
        <w:tc>
          <w:tcPr>
            <w:tcMar>
              <w:top w:w="70.0" w:type="dxa"/>
              <w:left w:w="120.0" w:type="dxa"/>
              <w:bottom w:w="70.0" w:type="dxa"/>
              <w:right w:w="120.0" w:type="dxa"/>
            </w:tcMar>
          </w:tcPr>
          <w:p w:rsidR="00000000" w:rsidDel="00000000" w:rsidP="00000000" w:rsidRDefault="00000000" w:rsidRPr="00000000" w14:paraId="0000000E">
            <w:pPr>
              <w:jc w:val="left"/>
              <w:rPr/>
            </w:pPr>
            <w:r w:rsidDel="00000000" w:rsidR="00000000" w:rsidRPr="00000000">
              <w:rPr>
                <w:rFonts w:ascii="Calibri" w:cs="Calibri" w:eastAsia="Calibri" w:hAnsi="Calibri"/>
                <w:b w:val="0"/>
                <w:bCs w:val="0"/>
                <w:sz w:val="21"/>
                <w:szCs w:val="21"/>
                <w:rtl w:val="0"/>
              </w:rPr>
              <w:t xml:space="preserve">Facturación de la red</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0F">
            <w:pPr>
              <w:jc w:val="right"/>
              <w:rPr/>
            </w:pPr>
            <w:r w:rsidDel="00000000" w:rsidR="00000000" w:rsidRPr="00000000">
              <w:rPr>
                <w:rFonts w:ascii="Calibri" w:cs="Calibri" w:eastAsia="Calibri" w:hAnsi="Calibri"/>
                <w:b w:val="0"/>
                <w:bCs w:val="0"/>
                <w:sz w:val="21"/>
                <w:szCs w:val="21"/>
                <w:rtl w:val="0"/>
              </w:rPr>
              <w:t xml:space="preserve">1.050.000 €</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10">
            <w:pPr>
              <w:jc w:val="right"/>
              <w:rPr/>
            </w:pPr>
            <w:r w:rsidDel="00000000" w:rsidR="00000000" w:rsidRPr="00000000">
              <w:rPr>
                <w:rFonts w:ascii="Calibri" w:cs="Calibri" w:eastAsia="Calibri" w:hAnsi="Calibri"/>
                <w:b w:val="0"/>
                <w:bCs w:val="0"/>
                <w:sz w:val="21"/>
                <w:szCs w:val="21"/>
                <w:rtl w:val="0"/>
              </w:rPr>
              <w:t xml:space="preserve">1.725.000 €</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11">
            <w:pPr>
              <w:jc w:val="right"/>
              <w:rPr/>
            </w:pPr>
            <w:r w:rsidDel="00000000" w:rsidR="00000000" w:rsidRPr="00000000">
              <w:rPr>
                <w:rFonts w:ascii="Calibri" w:cs="Calibri" w:eastAsia="Calibri" w:hAnsi="Calibri"/>
                <w:b w:val="0"/>
                <w:bCs w:val="0"/>
                <w:sz w:val="21"/>
                <w:szCs w:val="21"/>
                <w:rtl w:val="0"/>
              </w:rPr>
              <w:t xml:space="preserve">+675.000 € (+64%)</w:t>
            </w:r>
            <w:r w:rsidDel="00000000" w:rsidR="00000000" w:rsidRPr="00000000">
              <w:rPr>
                <w:rtl w:val="0"/>
              </w:rPr>
            </w:r>
          </w:p>
        </w:tc>
      </w:tr>
      <w:tr>
        <w:trPr>
          <w:cantSplit w:val="0"/>
          <w:tblHeader w:val="0"/>
        </w:trPr>
        <w:tc>
          <w:tcPr>
            <w:tcMar>
              <w:top w:w="70.0" w:type="dxa"/>
              <w:left w:w="120.0" w:type="dxa"/>
              <w:bottom w:w="70.0" w:type="dxa"/>
              <w:right w:w="120.0" w:type="dxa"/>
            </w:tcMar>
          </w:tcPr>
          <w:p w:rsidR="00000000" w:rsidDel="00000000" w:rsidP="00000000" w:rsidRDefault="00000000" w:rsidRPr="00000000" w14:paraId="00000012">
            <w:pPr>
              <w:jc w:val="left"/>
              <w:rPr/>
            </w:pPr>
            <w:r w:rsidDel="00000000" w:rsidR="00000000" w:rsidRPr="00000000">
              <w:rPr>
                <w:rFonts w:ascii="Calibri" w:cs="Calibri" w:eastAsia="Calibri" w:hAnsi="Calibri"/>
                <w:b w:val="0"/>
                <w:bCs w:val="0"/>
                <w:sz w:val="21"/>
                <w:szCs w:val="21"/>
                <w:rtl w:val="0"/>
              </w:rPr>
              <w:t xml:space="preserve">Nuevas aperturas</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13">
            <w:pPr>
              <w:jc w:val="right"/>
              <w:rPr/>
            </w:pPr>
            <w:r w:rsidDel="00000000" w:rsidR="00000000" w:rsidRPr="00000000">
              <w:rPr>
                <w:rFonts w:ascii="Calibri" w:cs="Calibri" w:eastAsia="Calibri" w:hAnsi="Calibri"/>
                <w:b w:val="0"/>
                <w:bCs w:val="0"/>
                <w:sz w:val="21"/>
                <w:szCs w:val="21"/>
                <w:rtl w:val="0"/>
              </w:rPr>
              <w:t xml:space="preserve">10</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14">
            <w:pPr>
              <w:jc w:val="right"/>
              <w:rPr/>
            </w:pPr>
            <w:r w:rsidDel="00000000" w:rsidR="00000000" w:rsidRPr="00000000">
              <w:rPr>
                <w:rFonts w:ascii="Calibri" w:cs="Calibri" w:eastAsia="Calibri" w:hAnsi="Calibri"/>
                <w:b w:val="0"/>
                <w:bCs w:val="0"/>
                <w:sz w:val="21"/>
                <w:szCs w:val="21"/>
                <w:rtl w:val="0"/>
              </w:rPr>
              <w:t xml:space="preserve">11</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15">
            <w:pPr>
              <w:jc w:val="right"/>
              <w:rPr/>
            </w:pPr>
            <w:r w:rsidDel="00000000" w:rsidR="00000000" w:rsidRPr="00000000">
              <w:rPr>
                <w:rFonts w:ascii="Calibri" w:cs="Calibri" w:eastAsia="Calibri" w:hAnsi="Calibri"/>
                <w:b w:val="0"/>
                <w:bCs w:val="0"/>
                <w:sz w:val="21"/>
                <w:szCs w:val="21"/>
                <w:rtl w:val="0"/>
              </w:rPr>
              <w:t xml:space="preserve">+1 (+10%)</w:t>
            </w:r>
            <w:r w:rsidDel="00000000" w:rsidR="00000000" w:rsidRPr="00000000">
              <w:rPr>
                <w:rtl w:val="0"/>
              </w:rPr>
            </w:r>
          </w:p>
        </w:tc>
      </w:tr>
      <w:tr>
        <w:trPr>
          <w:cantSplit w:val="0"/>
          <w:tblHeader w:val="0"/>
        </w:trPr>
        <w:tc>
          <w:tcPr>
            <w:tcMar>
              <w:top w:w="70.0" w:type="dxa"/>
              <w:left w:w="120.0" w:type="dxa"/>
              <w:bottom w:w="70.0" w:type="dxa"/>
              <w:right w:w="120.0" w:type="dxa"/>
            </w:tcMar>
          </w:tcPr>
          <w:p w:rsidR="00000000" w:rsidDel="00000000" w:rsidP="00000000" w:rsidRDefault="00000000" w:rsidRPr="00000000" w14:paraId="00000016">
            <w:pPr>
              <w:jc w:val="left"/>
              <w:rPr/>
            </w:pPr>
            <w:r w:rsidDel="00000000" w:rsidR="00000000" w:rsidRPr="00000000">
              <w:rPr>
                <w:rFonts w:ascii="Calibri" w:cs="Calibri" w:eastAsia="Calibri" w:hAnsi="Calibri"/>
                <w:b w:val="0"/>
                <w:bCs w:val="0"/>
                <w:sz w:val="21"/>
                <w:szCs w:val="21"/>
                <w:rtl w:val="0"/>
              </w:rPr>
              <w:t xml:space="preserve">Total establecimientos</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17">
            <w:pPr>
              <w:jc w:val="right"/>
              <w:rPr/>
            </w:pPr>
            <w:r w:rsidDel="00000000" w:rsidR="00000000" w:rsidRPr="00000000">
              <w:rPr>
                <w:rFonts w:ascii="Calibri" w:cs="Calibri" w:eastAsia="Calibri" w:hAnsi="Calibri"/>
                <w:b w:val="0"/>
                <w:bCs w:val="0"/>
                <w:sz w:val="21"/>
                <w:szCs w:val="21"/>
                <w:rtl w:val="0"/>
              </w:rPr>
              <w:t xml:space="preserve">20</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18">
            <w:pPr>
              <w:jc w:val="right"/>
              <w:rPr/>
            </w:pPr>
            <w:r w:rsidDel="00000000" w:rsidR="00000000" w:rsidRPr="00000000">
              <w:rPr>
                <w:rFonts w:ascii="Calibri" w:cs="Calibri" w:eastAsia="Calibri" w:hAnsi="Calibri"/>
                <w:b w:val="0"/>
                <w:bCs w:val="0"/>
                <w:sz w:val="21"/>
                <w:szCs w:val="21"/>
                <w:rtl w:val="0"/>
              </w:rPr>
              <w:t xml:space="preserve">33</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19">
            <w:pPr>
              <w:jc w:val="right"/>
              <w:rPr/>
            </w:pPr>
            <w:r w:rsidDel="00000000" w:rsidR="00000000" w:rsidRPr="00000000">
              <w:rPr>
                <w:rFonts w:ascii="Calibri" w:cs="Calibri" w:eastAsia="Calibri" w:hAnsi="Calibri"/>
                <w:b w:val="0"/>
                <w:bCs w:val="0"/>
                <w:sz w:val="21"/>
                <w:szCs w:val="21"/>
                <w:rtl w:val="0"/>
              </w:rPr>
              <w:t xml:space="preserve">+13 (+65%)</w:t>
            </w:r>
            <w:r w:rsidDel="00000000" w:rsidR="00000000" w:rsidRPr="00000000">
              <w:rPr>
                <w:rtl w:val="0"/>
              </w:rPr>
            </w:r>
          </w:p>
        </w:tc>
      </w:tr>
    </w:tbl>
    <w:p w:rsidR="00000000" w:rsidDel="00000000" w:rsidP="00000000" w:rsidRDefault="00000000" w:rsidRPr="00000000" w14:paraId="0000001A">
      <w:pPr>
        <w:spacing w:after="240" w:lineRule="auto"/>
        <w:rPr/>
      </w:pPr>
      <w:r w:rsidDel="00000000" w:rsidR="00000000" w:rsidRPr="00000000">
        <w:rPr>
          <w:rtl w:val="0"/>
        </w:rPr>
      </w:r>
    </w:p>
    <w:p w:rsidR="00000000" w:rsidDel="00000000" w:rsidP="00000000" w:rsidRDefault="00000000" w:rsidRPr="00000000" w14:paraId="0000001B">
      <w:pPr>
        <w:spacing w:after="200" w:line="300" w:lineRule="auto"/>
        <w:jc w:val="both"/>
        <w:rPr/>
      </w:pPr>
      <w:r w:rsidDel="00000000" w:rsidR="00000000" w:rsidRPr="00000000">
        <w:rPr>
          <w:rFonts w:ascii="Calibri" w:cs="Calibri" w:eastAsia="Calibri" w:hAnsi="Calibri"/>
          <w:b w:val="0"/>
          <w:bCs w:val="0"/>
          <w:i w:val="0"/>
          <w:iCs w:val="0"/>
          <w:color w:val="000000"/>
          <w:sz w:val="22"/>
          <w:szCs w:val="22"/>
          <w:rtl w:val="0"/>
        </w:rPr>
        <w:t xml:space="preserve">«Cerramos el mejor semestre de nuestra historia. Hemos crecido un 64% en facturación y hemos abierto prácticamente dos tiendas al mes, manteniendo lo que nos define: un producto natural, un modelo sencillo de gestionar y una red de franquiciados muy comprometida», señala Antonio Sandoval, fundador y CEO de Summy Yogurt Experience. </w:t>
      </w:r>
      <w:r w:rsidDel="00000000" w:rsidR="00000000" w:rsidRPr="00000000">
        <w:rPr>
          <w:rtl w:val="0"/>
        </w:rPr>
      </w:r>
    </w:p>
    <w:p w:rsidR="00000000" w:rsidDel="00000000" w:rsidP="00000000" w:rsidRDefault="00000000" w:rsidRPr="00000000" w14:paraId="0000001C">
      <w:pPr>
        <w:spacing w:after="200" w:line="300" w:lineRule="auto"/>
        <w:jc w:val="both"/>
        <w:rPr/>
      </w:pPr>
      <w:r w:rsidDel="00000000" w:rsidR="00000000" w:rsidRPr="00000000">
        <w:rPr>
          <w:rtl w:val="0"/>
        </w:rPr>
      </w:r>
    </w:p>
    <w:p w:rsidR="00000000" w:rsidDel="00000000" w:rsidP="00000000" w:rsidRDefault="00000000" w:rsidRPr="00000000" w14:paraId="0000001D">
      <w:pPr>
        <w:spacing w:after="200" w:line="300" w:lineRule="auto"/>
        <w:jc w:val="both"/>
        <w:rPr/>
      </w:pPr>
      <w:r w:rsidDel="00000000" w:rsidR="00000000" w:rsidRPr="00000000">
        <w:rPr>
          <w:rFonts w:ascii="Calibri" w:cs="Calibri" w:eastAsia="Calibri" w:hAnsi="Calibri"/>
          <w:b w:val="1"/>
          <w:bCs w:val="1"/>
          <w:color w:val="1f6fb2"/>
          <w:sz w:val="24"/>
          <w:szCs w:val="24"/>
          <w:rtl w:val="0"/>
        </w:rPr>
        <w:t xml:space="preserve">Diez aperturas en España en seis meses</w:t>
      </w:r>
      <w:r w:rsidDel="00000000" w:rsidR="00000000" w:rsidRPr="00000000">
        <w:rPr>
          <w:rtl w:val="0"/>
        </w:rPr>
      </w:r>
    </w:p>
    <w:p w:rsidR="00000000" w:rsidDel="00000000" w:rsidP="00000000" w:rsidRDefault="00000000" w:rsidRPr="00000000" w14:paraId="0000001E">
      <w:pPr>
        <w:spacing w:after="120" w:line="300" w:lineRule="auto"/>
        <w:jc w:val="both"/>
        <w:rPr/>
      </w:pPr>
      <w:r w:rsidDel="00000000" w:rsidR="00000000" w:rsidRPr="00000000">
        <w:rPr>
          <w:rFonts w:ascii="Calibri" w:cs="Calibri" w:eastAsia="Calibri" w:hAnsi="Calibri"/>
          <w:b w:val="0"/>
          <w:bCs w:val="0"/>
          <w:i w:val="0"/>
          <w:iCs w:val="0"/>
          <w:color w:val="000000"/>
          <w:sz w:val="22"/>
          <w:szCs w:val="22"/>
          <w:rtl w:val="0"/>
        </w:rPr>
        <w:t xml:space="preserve">Las nuevas aperturas del semestre refuerzan la presencia de la marca en la Comunidad de Madrid, la Comunidad Valenciana, Baleares y Cataluña:</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480" w:right="0" w:hanging="2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Summy Madrid – CC Plaza Éboli</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480" w:right="0" w:hanging="2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Summy Madrid – Alberto Alcocer, 47</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480" w:right="0" w:hanging="2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Summy Mallorca – Puerto de Alcudia, Carrer dels Mariners, 13</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480" w:right="0" w:hanging="2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Summy Mallorca – C/ Blanquerna, 60 (Palma)</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480" w:right="0" w:hanging="2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Summy Xàtiva – Bajada de la Estación, 1A</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480" w:right="0" w:hanging="2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Summy Carcaixent – CC Ribera del Xúquer</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480" w:right="0" w:hanging="2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Summy Castellón – Avda. Rey Don Jaime, 25</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480" w:right="0" w:hanging="2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Summy Castellón – P.C. Estepark</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480" w:right="0" w:hanging="2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Summy Oropesa del Mar – Passeig Marítim del Mediterrani, 22</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480" w:right="0" w:hanging="2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Summy Badalona – Carrer del Mar, 132</w:t>
      </w:r>
    </w:p>
    <w:p w:rsidR="00000000" w:rsidDel="00000000" w:rsidP="00000000" w:rsidRDefault="00000000" w:rsidRPr="00000000" w14:paraId="00000029">
      <w:pPr>
        <w:spacing w:after="160" w:lineRule="auto"/>
        <w:rPr/>
      </w:pPr>
      <w:r w:rsidDel="00000000" w:rsidR="00000000" w:rsidRPr="00000000">
        <w:rPr>
          <w:rtl w:val="0"/>
        </w:rPr>
      </w:r>
    </w:p>
    <w:p w:rsidR="00000000" w:rsidDel="00000000" w:rsidP="00000000" w:rsidRDefault="00000000" w:rsidRPr="00000000" w14:paraId="0000002A">
      <w:pPr>
        <w:spacing w:after="160" w:before="120" w:lineRule="auto"/>
        <w:rPr/>
      </w:pPr>
      <w:r w:rsidDel="00000000" w:rsidR="00000000" w:rsidRPr="00000000">
        <w:rPr>
          <w:rFonts w:ascii="Calibri" w:cs="Calibri" w:eastAsia="Calibri" w:hAnsi="Calibri"/>
          <w:b w:val="1"/>
          <w:bCs w:val="1"/>
          <w:color w:val="1f6fb2"/>
          <w:sz w:val="24"/>
          <w:szCs w:val="24"/>
          <w:rtl w:val="0"/>
        </w:rPr>
        <w:t xml:space="preserve">Consolidación internacional en El Salvador</w:t>
      </w:r>
      <w:r w:rsidDel="00000000" w:rsidR="00000000" w:rsidRPr="00000000">
        <w:rPr>
          <w:rtl w:val="0"/>
        </w:rPr>
      </w:r>
    </w:p>
    <w:p w:rsidR="00000000" w:rsidDel="00000000" w:rsidP="00000000" w:rsidRDefault="00000000" w:rsidRPr="00000000" w14:paraId="0000002B">
      <w:pPr>
        <w:spacing w:after="200" w:line="300" w:lineRule="auto"/>
        <w:jc w:val="both"/>
        <w:rPr/>
      </w:pPr>
      <w:r w:rsidDel="00000000" w:rsidR="00000000" w:rsidRPr="00000000">
        <w:rPr>
          <w:rFonts w:ascii="Calibri" w:cs="Calibri" w:eastAsia="Calibri" w:hAnsi="Calibri"/>
          <w:b w:val="0"/>
          <w:bCs w:val="0"/>
          <w:i w:val="0"/>
          <w:iCs w:val="0"/>
          <w:color w:val="000000"/>
          <w:sz w:val="22"/>
          <w:szCs w:val="22"/>
          <w:rtl w:val="0"/>
        </w:rPr>
        <w:t xml:space="preserve">Tras iniciar en 2025 su expansión internacional mediante un contrato de máster franquicia en El Salvador, la compañía abrirá su segunda yogurtería en el país dentro del primer año de operación, confirmando la buena acogida del concepto fuera de España y el potencial del modelo para el mercado latinoamericano.</w:t>
      </w:r>
      <w:r w:rsidDel="00000000" w:rsidR="00000000" w:rsidRPr="00000000">
        <w:rPr>
          <w:rtl w:val="0"/>
        </w:rPr>
      </w:r>
    </w:p>
    <w:p w:rsidR="00000000" w:rsidDel="00000000" w:rsidP="00000000" w:rsidRDefault="00000000" w:rsidRPr="00000000" w14:paraId="0000002C">
      <w:pPr>
        <w:spacing w:after="200" w:line="300" w:lineRule="auto"/>
        <w:jc w:val="both"/>
        <w:rPr/>
      </w:pPr>
      <w:r w:rsidDel="00000000" w:rsidR="00000000" w:rsidRPr="00000000">
        <w:rPr>
          <w:rFonts w:ascii="Calibri" w:cs="Calibri" w:eastAsia="Calibri" w:hAnsi="Calibri"/>
          <w:b w:val="0"/>
          <w:bCs w:val="0"/>
          <w:i w:val="0"/>
          <w:iCs w:val="0"/>
          <w:color w:val="000000"/>
          <w:sz w:val="22"/>
          <w:szCs w:val="22"/>
          <w:rtl w:val="0"/>
        </w:rPr>
        <w:t xml:space="preserve">Con estos resultados, Summy Yogurt Experience se consolida como una de las franquicias de yogur helado con mayor crecimiento del mercado español, apoyada en un modelo de inversión ajustada, gestión sencilla y una propuesta de producto centrada en el yogur helado natural elaborado con receta propia, smoothies, repostería y café.</w:t>
      </w:r>
      <w:r w:rsidDel="00000000" w:rsidR="00000000" w:rsidRPr="00000000">
        <w:rPr>
          <w:rtl w:val="0"/>
        </w:rPr>
      </w:r>
    </w:p>
    <w:p w:rsidR="00000000" w:rsidDel="00000000" w:rsidP="00000000" w:rsidRDefault="00000000" w:rsidRPr="00000000" w14:paraId="0000002D">
      <w:pPr>
        <w:pBdr>
          <w:top w:color="cccccc" w:space="0" w:sz="4" w:val="single"/>
        </w:pBdr>
        <w:spacing w:after="120" w:before="200" w:lineRule="auto"/>
        <w:rPr/>
      </w:pPr>
      <w:r w:rsidDel="00000000" w:rsidR="00000000" w:rsidRPr="00000000">
        <w:rPr>
          <w:rFonts w:ascii="Calibri" w:cs="Calibri" w:eastAsia="Calibri" w:hAnsi="Calibri"/>
          <w:b w:val="1"/>
          <w:bCs w:val="1"/>
          <w:color w:val="1f6fb2"/>
          <w:sz w:val="22"/>
          <w:szCs w:val="22"/>
          <w:rtl w:val="0"/>
        </w:rPr>
        <w:t xml:space="preserve">Sobre Summy Yogurt Experience</w:t>
      </w:r>
      <w:r w:rsidDel="00000000" w:rsidR="00000000" w:rsidRPr="00000000">
        <w:rPr>
          <w:rtl w:val="0"/>
        </w:rPr>
      </w:r>
    </w:p>
    <w:p w:rsidR="00000000" w:rsidDel="00000000" w:rsidP="00000000" w:rsidRDefault="00000000" w:rsidRPr="00000000" w14:paraId="0000002E">
      <w:pPr>
        <w:spacing w:after="200" w:line="300" w:lineRule="auto"/>
        <w:jc w:val="both"/>
        <w:rPr/>
      </w:pPr>
      <w:r w:rsidDel="00000000" w:rsidR="00000000" w:rsidRPr="00000000">
        <w:rPr>
          <w:rFonts w:ascii="Calibri" w:cs="Calibri" w:eastAsia="Calibri" w:hAnsi="Calibri"/>
          <w:b w:val="0"/>
          <w:bCs w:val="0"/>
          <w:i w:val="0"/>
          <w:iCs w:val="0"/>
          <w:color w:val="555555"/>
          <w:sz w:val="20"/>
          <w:szCs w:val="20"/>
          <w:rtl w:val="0"/>
        </w:rPr>
        <w:t xml:space="preserve">Summy Yogurt Experience es una cadena española de yogurterías especializada en yogur helado natural y productos saludables. Fundada por Antonio Sandoval, abrió su primer local en diciembre de 2022 en Madrid y opera bajo un modelo de franquicia de baja inversión, gestión sencilla y acompañamiento continuo al franquiciado. La red cuenta actualmente con 33 establecimientos entre España y El Salvador. Más información en www.summyyogurtexperience.com.</w:t>
      </w:r>
      <w:r w:rsidDel="00000000" w:rsidR="00000000" w:rsidRPr="00000000">
        <w:rPr>
          <w:rtl w:val="0"/>
        </w:rPr>
      </w:r>
    </w:p>
    <w:p w:rsidR="00000000" w:rsidDel="00000000" w:rsidP="00000000" w:rsidRDefault="00000000" w:rsidRPr="00000000" w14:paraId="0000002F">
      <w:pPr>
        <w:spacing w:after="80" w:before="160" w:lineRule="auto"/>
        <w:rPr/>
      </w:pPr>
      <w:r w:rsidDel="00000000" w:rsidR="00000000" w:rsidRPr="00000000">
        <w:rPr>
          <w:rFonts w:ascii="Calibri" w:cs="Calibri" w:eastAsia="Calibri" w:hAnsi="Calibri"/>
          <w:b w:val="1"/>
          <w:bCs w:val="1"/>
          <w:color w:val="1f6fb2"/>
          <w:sz w:val="22"/>
          <w:szCs w:val="22"/>
          <w:rtl w:val="0"/>
        </w:rPr>
        <w:t xml:space="preserve">Contacto de prensa</w:t>
      </w:r>
      <w:r w:rsidDel="00000000" w:rsidR="00000000" w:rsidRPr="00000000">
        <w:rPr>
          <w:rtl w:val="0"/>
        </w:rPr>
      </w:r>
    </w:p>
    <w:p w:rsidR="00000000" w:rsidDel="00000000" w:rsidP="00000000" w:rsidRDefault="00000000" w:rsidRPr="00000000" w14:paraId="00000030">
      <w:pPr>
        <w:spacing w:after="60" w:line="300" w:lineRule="auto"/>
        <w:jc w:val="left"/>
        <w:rPr/>
      </w:pPr>
      <w:r w:rsidDel="00000000" w:rsidR="00000000" w:rsidRPr="00000000">
        <w:rPr>
          <w:rFonts w:ascii="Calibri" w:cs="Calibri" w:eastAsia="Calibri" w:hAnsi="Calibri"/>
          <w:b w:val="0"/>
          <w:bCs w:val="0"/>
          <w:i w:val="0"/>
          <w:iCs w:val="0"/>
          <w:color w:val="555555"/>
          <w:sz w:val="20"/>
          <w:szCs w:val="20"/>
          <w:rtl w:val="0"/>
        </w:rPr>
        <w:t xml:space="preserve">Chillypills Comunicación · </w:t>
      </w:r>
      <w:r w:rsidDel="00000000" w:rsidR="00000000" w:rsidRPr="00000000">
        <w:rPr>
          <w:color w:val="555555"/>
          <w:sz w:val="20"/>
          <w:szCs w:val="20"/>
          <w:rtl w:val="0"/>
        </w:rPr>
        <w:t xml:space="preserve">Pablo Malavé</w:t>
      </w:r>
      <w:r w:rsidDel="00000000" w:rsidR="00000000" w:rsidRPr="00000000">
        <w:rPr>
          <w:rFonts w:ascii="Calibri" w:cs="Calibri" w:eastAsia="Calibri" w:hAnsi="Calibri"/>
          <w:b w:val="0"/>
          <w:bCs w:val="0"/>
          <w:i w:val="0"/>
          <w:iCs w:val="0"/>
          <w:color w:val="555555"/>
          <w:sz w:val="20"/>
          <w:szCs w:val="20"/>
          <w:rtl w:val="0"/>
        </w:rPr>
        <w:t xml:space="preserve"> · </w:t>
      </w:r>
      <w:r w:rsidDel="00000000" w:rsidR="00000000" w:rsidRPr="00000000">
        <w:rPr>
          <w:color w:val="555555"/>
          <w:sz w:val="20"/>
          <w:szCs w:val="20"/>
          <w:rtl w:val="0"/>
        </w:rPr>
        <w:t xml:space="preserve">pablo.malave@chillypills.com</w:t>
      </w:r>
      <w:r w:rsidDel="00000000" w:rsidR="00000000" w:rsidRPr="00000000">
        <w:rPr>
          <w:rFonts w:ascii="Calibri" w:cs="Calibri" w:eastAsia="Calibri" w:hAnsi="Calibri"/>
          <w:b w:val="0"/>
          <w:bCs w:val="0"/>
          <w:i w:val="0"/>
          <w:iCs w:val="0"/>
          <w:color w:val="555555"/>
          <w:sz w:val="20"/>
          <w:szCs w:val="20"/>
          <w:rtl w:val="0"/>
        </w:rPr>
        <w:t xml:space="preserve">· </w:t>
      </w:r>
      <w:r w:rsidDel="00000000" w:rsidR="00000000" w:rsidRPr="00000000">
        <w:rPr>
          <w:color w:val="555555"/>
          <w:sz w:val="20"/>
          <w:szCs w:val="20"/>
          <w:rtl w:val="0"/>
        </w:rPr>
        <w:t xml:space="preserve">660 361 174</w:t>
      </w:r>
      <w:r w:rsidDel="00000000" w:rsidR="00000000" w:rsidRPr="00000000">
        <w:rPr>
          <w:rtl w:val="0"/>
        </w:rPr>
      </w:r>
    </w:p>
    <w:p w:rsidR="00000000" w:rsidDel="00000000" w:rsidP="00000000" w:rsidRDefault="00000000" w:rsidRPr="00000000" w14:paraId="00000031">
      <w:pPr>
        <w:spacing w:after="200" w:line="300" w:lineRule="auto"/>
        <w:jc w:val="left"/>
        <w:rPr/>
      </w:pPr>
      <w:r w:rsidDel="00000000" w:rsidR="00000000" w:rsidRPr="00000000">
        <w:rPr>
          <w:rFonts w:ascii="Calibri" w:cs="Calibri" w:eastAsia="Calibri" w:hAnsi="Calibri"/>
          <w:b w:val="0"/>
          <w:bCs w:val="0"/>
          <w:i w:val="0"/>
          <w:iCs w:val="0"/>
          <w:color w:val="555555"/>
          <w:sz w:val="20"/>
          <w:szCs w:val="20"/>
          <w:rtl w:val="0"/>
        </w:rPr>
        <w:t xml:space="preserve">Material gráfico en alta resolución disponible bajo petición.</w:t>
      </w:r>
      <w:r w:rsidDel="00000000" w:rsidR="00000000" w:rsidRPr="00000000">
        <w:rPr>
          <w:rtl w:val="0"/>
        </w:rPr>
      </w:r>
    </w:p>
    <w:sectPr>
      <w:pgSz w:h="16838" w:w="11906" w:orient="portrait"/>
      <w:pgMar w:bottom="1133" w:top="1247" w:left="1360" w:right="136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80" w:hanging="24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